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Eliminazione delle barriere architettoniche - attivita' edilizia libera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volti all'eliminazione di barriere architettoniche che non comportino la realizzazione di ascensori esterni, ovvero di manufatti che alterino la sagoma dell'edificio.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D.P.R. n. 380/2001 - Legge regionale - Regolamento Edilizio - D.P.R. 445/2000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xxx giorni, in conformita' al Regolamento sull'attivita' e i procedimenti amministrativi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ricorso al TAR entro 30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